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3.0.0 -->
  <w:body>
    <w:p w:rsidR="00A77B3E">
      <w:pPr>
        <w:jc w:val="center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8"/>
          <w:szCs w:val="28"/>
        </w:rPr>
        <w:t>VÝZVA NA PREDLOŽENIE PONUKY</w:t>
      </w:r>
    </w:p>
    <w:p w:rsidR="00A77B3E">
      <w:pPr>
        <w:jc w:val="center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center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 xml:space="preserve">zákazka postupom podľa § 117 „zákazka s nízkou hodnotou“ v súlade so  zákonom </w:t>
      </w:r>
    </w:p>
    <w:p w:rsidR="00A77B3E">
      <w:pPr>
        <w:jc w:val="center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č. 343/2015 Z. z. o verejnom obstarávaní v znení neskorších predpisov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1)</w:t>
      </w:r>
      <w:r>
        <w:rPr>
          <w:rStyle w:val="DefaultParagraphFont"/>
          <w:rFonts w:ascii="Arial" w:eastAsia="Arial" w:hAnsi="Arial" w:cs="Arial"/>
          <w:sz w:val="20"/>
          <w:szCs w:val="20"/>
        </w:rPr>
        <w:t> </w:t>
      </w: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 xml:space="preserve">Identifikácia verejného obstarávateľa: 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Názov: Fakultná nemocnica Nitra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Adresa: Špitálska 6,  94901 , Nitra 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Krajina: Slovenská republika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Štatutárny zástupca: JUDr. Marian Korytiak, PhD. - riaditeľ FN Nitra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IČO: 17336007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DIČ: 2021205197 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Telefón: +421 37 6545111, kl. 773 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e-mail : obstaravanie@fnnitra.sk 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Internetová adresa: www.fnnitra.sk 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IBAN: SK49 8180 0000 0070 0028 0649 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 xml:space="preserve">Kontaktná osoba pre verejné obstarávanie: 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Ing. Kristína Hodošiová, kristina.hodosiova@fnnitra.sk 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Telefón: +421 37 6545773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e-mail : kristina.hodosiova@fnnitra.sk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2)</w:t>
      </w:r>
      <w:r>
        <w:rPr>
          <w:rStyle w:val="DefaultParagraphFont"/>
          <w:rFonts w:ascii="Arial" w:eastAsia="Arial" w:hAnsi="Arial" w:cs="Arial"/>
          <w:sz w:val="20"/>
          <w:szCs w:val="20"/>
        </w:rPr>
        <w:t> </w:t>
      </w: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 xml:space="preserve">Predmet zákazky: 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Názov predmetu zákazky: Žalúzie a sieťky 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Druh zákazky: tovary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Spoločný slovník obstarávania (CPV): </w:t>
      </w:r>
      <w:r>
        <w:rPr>
          <w:rStyle w:val="DefaultParagraphFont"/>
          <w:rFonts w:ascii="Arial" w:eastAsia="Arial" w:hAnsi="Arial" w:cs="Arial"/>
          <w:sz w:val="20"/>
          <w:szCs w:val="20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39525500-3 Siete proti hmyzu</w:t>
      </w:r>
      <w:r>
        <w:rPr>
          <w:rStyle w:val="DefaultParagraphFont"/>
          <w:rFonts w:ascii="Arial" w:eastAsia="Arial" w:hAnsi="Arial" w:cs="Arial"/>
          <w:sz w:val="20"/>
          <w:szCs w:val="20"/>
        </w:rPr>
        <w:br/>
      </w:r>
      <w:r>
        <w:rPr>
          <w:rStyle w:val="DefaultParagraphFont"/>
          <w:rFonts w:ascii="Arial" w:eastAsia="Arial" w:hAnsi="Arial" w:cs="Arial"/>
          <w:sz w:val="20"/>
          <w:szCs w:val="20"/>
        </w:rPr>
        <w:t>39515430-8 Vodorovné žalúzie</w:t>
      </w:r>
      <w:r>
        <w:rPr>
          <w:rStyle w:val="DefaultParagraphFont"/>
          <w:rFonts w:ascii="Arial" w:eastAsia="Arial" w:hAnsi="Arial" w:cs="Arial"/>
          <w:sz w:val="20"/>
          <w:szCs w:val="20"/>
        </w:rPr>
        <w:br/>
      </w:r>
      <w:r>
        <w:rPr>
          <w:rStyle w:val="DefaultParagraphFont"/>
          <w:rFonts w:ascii="Arial" w:eastAsia="Arial" w:hAnsi="Arial" w:cs="Arial"/>
          <w:sz w:val="20"/>
          <w:szCs w:val="20"/>
        </w:rPr>
        <w:t>44115310-5 Rolovacie žalúzie</w:t>
      </w:r>
      <w:r>
        <w:rPr>
          <w:rStyle w:val="DefaultParagraphFont"/>
          <w:rFonts w:ascii="Arial" w:eastAsia="Arial" w:hAnsi="Arial" w:cs="Arial"/>
          <w:sz w:val="20"/>
          <w:szCs w:val="20"/>
        </w:rPr>
        <w:br/>
      </w:r>
      <w:r>
        <w:rPr>
          <w:rStyle w:val="DefaultParagraphFont"/>
          <w:rFonts w:ascii="Arial" w:eastAsia="Arial" w:hAnsi="Arial" w:cs="Arial"/>
          <w:sz w:val="20"/>
          <w:szCs w:val="20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Predpokladaná hodnota: V zmysle Metodického usmernenia Úradu pre verejné obstarávanie č.: 10801-5000/2018 budú cenové ponuky predložené v tejto súťaži slúžiť aj na stanovenie PHZ. V prípade ak predložené ponuky prekročia finančný limit pre zákazky podľa §117 ZVO bude táto výzva slúžiť pre potreby určenia PHZ a verejný obstarávateľ bude postupovať postupom podľa daného finančného limitu.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Podrobné vymedzenie predmetu zákazky tvorí opis zákazky v systéme ERANET.</w:t>
      </w:r>
    </w:p>
    <w:p w:rsidR="00A77B3E">
      <w:pPr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Uchádzačom sa neumožňuje predložiť variantné riešenie vo vzťahu k požadovanému predmetu zákazky.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Súčasťou predmetu obstarávania sú súvisiace služby spojené s dopravou na miesto dodania/realizácie a ďalšie súvisiace náklady s dodaním/realizáciou predmetu zákazky.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3)</w:t>
      </w:r>
      <w:r>
        <w:rPr>
          <w:rStyle w:val="DefaultParagraphFont"/>
          <w:rFonts w:ascii="Arial" w:eastAsia="Arial" w:hAnsi="Arial" w:cs="Arial"/>
          <w:sz w:val="20"/>
          <w:szCs w:val="20"/>
        </w:rPr>
        <w:t> </w:t>
      </w: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Miesto a lehota plnenia: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Adresa dodania: Špitálska 6, 94901 Nitra, Slovenská republika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Požadovaný termín prvého plnenia: najneskôr do 7 dní odo dňa uzatvorenia každej čiastkovej kúpnej zmluvy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4)</w:t>
      </w:r>
      <w:r>
        <w:rPr>
          <w:rStyle w:val="DefaultParagraphFont"/>
          <w:rFonts w:ascii="Arial" w:eastAsia="Arial" w:hAnsi="Arial" w:cs="Arial"/>
          <w:sz w:val="20"/>
          <w:szCs w:val="20"/>
        </w:rPr>
        <w:t> </w:t>
      </w: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Typ zmluvy, ktorá bude výsledkom verejného obstarávania: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Typ zmluvy: rámcová dohoda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Trvanie zmluvy: 12 mesiacov 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Podmienky plnenia zmluvy sú uvedené v Návrhu zmluvy, ktorý tvorí podklady k tejto Výzve.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5)</w:t>
      </w:r>
      <w:r>
        <w:rPr>
          <w:rStyle w:val="DefaultParagraphFont"/>
          <w:rFonts w:ascii="Arial" w:eastAsia="Arial" w:hAnsi="Arial" w:cs="Arial"/>
          <w:sz w:val="20"/>
          <w:szCs w:val="20"/>
        </w:rPr>
        <w:t> </w:t>
      </w: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Zdroj finančných prostriedkov a podmienky financovania: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Predmet zákazky bude financovaný z vlastných prostriedkov verejného obstarávateľa, formou bezhotovostného platobného styku, na základe objednávky verejného obstarávateľa. Nebude poskytnutý preddavok ani záloha, fakturácia prebehne po prevzatí tovarov a potvrdení dodacieho listu. lehota splatnosti faktúry je 30 dní odo dňa jej doručenia verejnému obstarávateľovi.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6)</w:t>
      </w:r>
      <w:r>
        <w:rPr>
          <w:rStyle w:val="DefaultParagraphFont"/>
          <w:rFonts w:ascii="Arial" w:eastAsia="Arial" w:hAnsi="Arial" w:cs="Arial"/>
          <w:sz w:val="20"/>
          <w:szCs w:val="20"/>
        </w:rPr>
        <w:t> </w:t>
      </w: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Komunikácia a vysvetľovanie: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Komunikácia medzi verejným obstarávateľom a záujemcami/uchádzačmi sa uskutočňuje v tomto verejnom obstarávaní elektronickou formou, ktorá zabezpečí trvalé zachytenie ich obsahu, prostredníctvom systému ERANET</w:t>
      </w:r>
      <w:r>
        <w:rPr>
          <w:rStyle w:val="DefaultParagraphFont"/>
          <w:rFonts w:ascii="Arial" w:eastAsia="Arial" w:hAnsi="Arial" w:cs="Arial"/>
          <w:sz w:val="20"/>
          <w:szCs w:val="20"/>
        </w:rPr>
        <w:t> (ďalej len „ ERANET").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 xml:space="preserve">Pre potreby elektronickej komunikácie je každý záujemca/uchádzač povinný zaregistrovať sa v systéme ERANET na URL adrese: </w:t>
      </w: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https://fnnitra.eranet.sk/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Komunikácia sa bude uskutočňovať výhradne v slovenskom jazyku prípadne v českom jazyku a to písomnou formou v elektronickej podobe prostredníctvom systému ERANET.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Za moment doručenia elektronickej informácie sa považuje moment jej odoslania, t.j. moment uloženia elektronickej zásielky v elektronickej schránke adresáta v systéme ERANET.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7)</w:t>
      </w:r>
      <w:r>
        <w:rPr>
          <w:rStyle w:val="DefaultParagraphFont"/>
          <w:rFonts w:ascii="Arial" w:eastAsia="Arial" w:hAnsi="Arial" w:cs="Arial"/>
          <w:sz w:val="20"/>
          <w:szCs w:val="20"/>
        </w:rPr>
        <w:t> </w:t>
      </w: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Ponuka: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Vo svojej ponuke predložte nasledovné doklady a dokumenty: </w:t>
      </w:r>
    </w:p>
    <w:tbl>
      <w:tblPr>
        <w:tblStyle w:val="Table"/>
        <w:tblW w:w="9490" w:type="dxa"/>
        <w:tblCellSpacing w:w="15" w:type="dxa"/>
        <w:tblInd w:w="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23"/>
        <w:gridCol w:w="8382"/>
      </w:tblGrid>
      <w:tr>
        <w:tblPrEx>
          <w:tblW w:w="9490" w:type="dxa"/>
          <w:tblCellSpacing w:w="15" w:type="dxa"/>
          <w:tblInd w:w="60" w:type="dxa"/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W w:w="97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>
            <w:pPr>
              <w:jc w:val="center"/>
              <w:rPr>
                <w:rStyle w:val="DefaultParagraphFont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DefaultParagraphFont"/>
                <w:rFonts w:ascii="Georgia" w:eastAsia="Georgia" w:hAnsi="Georgia" w:cs="Georgia"/>
                <w:b/>
                <w:bCs/>
                <w:sz w:val="18"/>
                <w:szCs w:val="18"/>
              </w:rPr>
              <w:t>P.č.</w:t>
            </w:r>
          </w:p>
        </w:tc>
        <w:tc>
          <w:tcPr>
            <w:tcW w:w="861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>
            <w:pPr>
              <w:rPr>
                <w:rStyle w:val="DefaultParagraphFont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DefaultParagraphFont"/>
                <w:rFonts w:ascii="Georgia" w:eastAsia="Georgia" w:hAnsi="Georgia" w:cs="Georgia"/>
                <w:b/>
                <w:bCs/>
                <w:sz w:val="18"/>
                <w:szCs w:val="18"/>
              </w:rPr>
              <w:t>Požiadavka na ponuku</w:t>
            </w:r>
          </w:p>
        </w:tc>
      </w:tr>
      <w:tr>
        <w:tblPrEx>
          <w:tblW w:w="9490" w:type="dxa"/>
          <w:tblCellSpacing w:w="15" w:type="dxa"/>
          <w:tblInd w:w="6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>
            <w:pPr>
              <w:rPr>
                <w:rStyle w:val="DefaultParagraphFont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DefaultParagraphFont"/>
                <w:rFonts w:ascii="Georgia" w:eastAsia="Georgia" w:hAnsi="Georgia" w:cs="Georgia"/>
                <w:sz w:val="18"/>
                <w:szCs w:val="18"/>
              </w:rPr>
              <w:t xml:space="preserve">1. </w:t>
            </w:r>
          </w:p>
        </w:tc>
        <w:tc>
          <w:tcPr>
            <w:tcW w:w="861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>
            <w:pPr>
              <w:rPr>
                <w:rStyle w:val="DefaultParagraphFont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sz w:val="20"/>
                <w:szCs w:val="20"/>
              </w:rPr>
              <w:t xml:space="preserve">Vyplnená a podpísaná príloha č. 1: Technická špecifikácia / Návrh na plnenie kritérií </w:t>
            </w:r>
          </w:p>
        </w:tc>
      </w:tr>
      <w:tr>
        <w:tblPrEx>
          <w:tblW w:w="9490" w:type="dxa"/>
          <w:tblCellSpacing w:w="15" w:type="dxa"/>
          <w:tblInd w:w="6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>
            <w:pPr>
              <w:rPr>
                <w:rStyle w:val="DefaultParagraphFont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DefaultParagraphFont"/>
                <w:rFonts w:ascii="Georgia" w:eastAsia="Georgia" w:hAnsi="Georgia" w:cs="Georgia"/>
                <w:sz w:val="18"/>
                <w:szCs w:val="18"/>
              </w:rPr>
              <w:t xml:space="preserve">2. </w:t>
            </w:r>
          </w:p>
        </w:tc>
        <w:tc>
          <w:tcPr>
            <w:tcW w:w="861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>
            <w:pPr>
              <w:rPr>
                <w:rStyle w:val="DefaultParagraphFont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sz w:val="20"/>
                <w:szCs w:val="20"/>
              </w:rPr>
              <w:t>Vyplnená a podpísaná príloha č. 3: Vyhlásenie o neexistencii konfliktu záujmov</w:t>
            </w:r>
          </w:p>
        </w:tc>
      </w:tr>
    </w:tbl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Pre predloženie ponuky sa musí uchádzač zaregistrovať na adrese https://fnnitra.eranet.sk/. Registrácia je pre uchádzačov bezplatná.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8)</w:t>
      </w:r>
      <w:r>
        <w:rPr>
          <w:rStyle w:val="DefaultParagraphFont"/>
          <w:rFonts w:ascii="Arial" w:eastAsia="Arial" w:hAnsi="Arial" w:cs="Arial"/>
          <w:sz w:val="20"/>
          <w:szCs w:val="20"/>
        </w:rPr>
        <w:t> </w:t>
      </w: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Vyhotovenie ponuky: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Ponuka musí byť predložená elektronicky. Ponuka musí byť vyhotovená a predložená v elektronickej podobe vo formáte, ktorá zabezpečí trvalé zachytenie jej obsahu.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Dokumenty a doklady, ktoré tvoria ponuku uchádzača a ktoré neboli pôvodne vyhotovené v elektronickej forme, ale v listinnej, sa prostredníctvom systému ERANET predkladajú zoskenované. </w:t>
      </w:r>
      <w:r>
        <w:rPr>
          <w:rStyle w:val="DefaultParagraphFont"/>
          <w:rFonts w:ascii="Arial" w:eastAsia="Arial" w:hAnsi="Arial" w:cs="Arial"/>
          <w:sz w:val="20"/>
          <w:szCs w:val="20"/>
        </w:rPr>
        <w:t>Dokumenty a doklady, ktoré tvoria ponuku uchádzača a ktoré boli pôvodne vyhotovené v elektronickej forme sa prostredníctvom systému ERANET predkladajú v pôvodnej elektronickej podobe.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Dokumenty, ktoré uchádzač podpisuje musia byť podpísané osobou oprávnenou konať v mene uchádzača. V prípade, ak sú dokumenty v ponuke podpísané osobou inou ako je štatutárny orgán alebo člen štatutárneho orgánu, verejný obstarávateľ požaduje predložiť splnomocnenie pre zástupcu uchádzača, ktorý je oprávnený konať v mene uchádzača v záväzkových vzťahoch.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Ponuky, návrhy a ďalšie doklady a dokumenty vo verejnom obstarávaní sa predkladajú v štátnom jazyku. Ak je doklad alebo dokument vyhotovený v cudzom jazyku, predkladá sa spolu s jeho úradným prekladom do štátneho jazyka; to neplatí pre ponuky, návrhy, doklady a dokumenty vyhotovené v českom jazyku. Ak sa zistí rozdiel v ich obsahu, rozhodujúci je úradný preklad do štátneho jazyka.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9)</w:t>
      </w:r>
      <w:r>
        <w:rPr>
          <w:rStyle w:val="DefaultParagraphFont"/>
          <w:rFonts w:ascii="Arial" w:eastAsia="Arial" w:hAnsi="Arial" w:cs="Arial"/>
          <w:sz w:val="20"/>
          <w:szCs w:val="20"/>
        </w:rPr>
        <w:t> </w:t>
      </w: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Miesto a lehota na predkladanie ponuky: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 xml:space="preserve">Ponuka bude predložená v elektronickej podobe na URL adrese </w:t>
      </w: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https://fnnitra.eranet.sk/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  <w:u w:val="single"/>
        </w:rPr>
        <w:t>Lehota na predkladanie ponuky: do 10.08.2022 do 09:00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Manuál pre uchádzača k zadávaniu elektronickej ponuky sa nachádza na prihlasovacej stránke do systému ERANET. </w:t>
      </w:r>
      <w:r>
        <w:rPr>
          <w:rStyle w:val="DefaultParagraphFont"/>
          <w:rFonts w:ascii="Arial" w:eastAsia="Arial" w:hAnsi="Arial" w:cs="Arial"/>
          <w:sz w:val="20"/>
          <w:szCs w:val="20"/>
        </w:rPr>
        <w:t>Elektronickú ponuku nie je možné predložiť po uplynutí lehoty na predkladanie ponúk. Verejný obstarávateľ preto záujemcom odporúča, aby svoju ponuku zaslali v dostatočnom časovom predstihu.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Ponuka sa považuje za predloženú v predmetnom verejnom obstarávaní až po jej záväznom odoslaní v systéme ERANET. Vloženie údajov, dokumentov a dokladov bez ich záväzného odoslania sa nepovažuje za predloženie ponuky. Po záväznom predložení ponuky (rozumej jej odoslaní) je uchádzačovi zaslaný notifikačný email o doručení tejto ponuky verejnému obstarávateľovi.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10)</w:t>
      </w:r>
      <w:r>
        <w:rPr>
          <w:rStyle w:val="DefaultParagraphFont"/>
          <w:rFonts w:ascii="Arial" w:eastAsia="Arial" w:hAnsi="Arial" w:cs="Arial"/>
          <w:sz w:val="20"/>
          <w:szCs w:val="20"/>
        </w:rPr>
        <w:t xml:space="preserve">      </w:t>
      </w: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Vyhodnocovanie ponúk: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Verejný obstarávateľ vyhodnotí predložené ponuky podľa nasledujúceho kritéria: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najnižšia cena za celý predmet zákazky bez DPH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Navrhovanú cenu je potrebné zaokrúhliť na 2 des. miest/-a. Ak uchádzač predloží cenu na viac ako určený počet desatinných miest, bude jeho cena zaokrúhlená v zmysle všeobecných platných pravidiel o zaokrúhľovaní (t.j. od číslice 5 - vrátane sa bude zaokrúhľovať smerom nahor). 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Použitie elektronickej aukcie:  nie  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 xml:space="preserve">Za úspešnú bude označená ponuka s najnižšou predloženou cenou za celý predmet zákazky v EUR </w:t>
      </w: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bez DPH</w:t>
      </w:r>
      <w:r>
        <w:rPr>
          <w:rStyle w:val="DefaultParagraphFont"/>
          <w:rFonts w:ascii="Arial" w:eastAsia="Arial" w:hAnsi="Arial" w:cs="Arial"/>
          <w:sz w:val="20"/>
          <w:szCs w:val="20"/>
        </w:rPr>
        <w:t>. </w:t>
      </w:r>
      <w:r>
        <w:rPr>
          <w:rStyle w:val="DefaultParagraphFont"/>
          <w:rFonts w:ascii="Arial" w:eastAsia="Arial" w:hAnsi="Arial" w:cs="Arial"/>
          <w:sz w:val="20"/>
          <w:szCs w:val="20"/>
        </w:rPr>
        <w:t>Na základe kritérií na vyhodnotenie ponúk bude identifikovaný úspešný uchádzač, ktorému verejný obstarávateľ oznámi, že uspel a s ktorým uzatvorí zmluvný vzťah. </w:t>
      </w:r>
      <w:r>
        <w:rPr>
          <w:rStyle w:val="DefaultParagraphFont"/>
          <w:rFonts w:ascii="Arial" w:eastAsia="Arial" w:hAnsi="Arial" w:cs="Arial"/>
          <w:sz w:val="20"/>
          <w:szCs w:val="20"/>
        </w:rPr>
        <w:t>Neúspešným uchádzačom verejný obstarávateľ zašle informáciu o výsledku vyhodnotenia ponúk, s informáciou, že neuspeli a s uvedením dôvodu.  </w:t>
      </w:r>
      <w:r>
        <w:rPr>
          <w:rStyle w:val="DefaultParagraphFont"/>
          <w:rFonts w:ascii="Arial" w:eastAsia="Arial" w:hAnsi="Arial" w:cs="Arial"/>
          <w:sz w:val="20"/>
          <w:szCs w:val="20"/>
        </w:rPr>
        <w:t>Uchádzačom, ktorí predložia svoje ponuky nevzniká žiadny nárok na úhradu nákladov, ktoré mu vznikli s prípravou a doručením ponuky.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 xml:space="preserve">Ak bola predložená viac ako jedna ponuka, </w:t>
      </w:r>
      <w:r>
        <w:rPr>
          <w:rStyle w:val="DefaultParagraphFont"/>
          <w:rFonts w:ascii="Arial" w:eastAsia="Arial" w:hAnsi="Arial" w:cs="Arial"/>
          <w:sz w:val="20"/>
          <w:szCs w:val="20"/>
          <w:u w:val="single"/>
        </w:rPr>
        <w:t>verejný obstarávateľ vyhodnocuje splnenie požiadaviek na predmet zákazky a splnenie podmienok účasti po vyhodnotení ponúk na základe kritériá na vyhodnotenie ponúk, a to iba v prípade uchádzača, ktorý sa umiestnil na prvom mieste v poradí</w:t>
      </w:r>
      <w:r>
        <w:rPr>
          <w:rStyle w:val="DefaultParagraphFont"/>
          <w:rFonts w:ascii="Arial" w:eastAsia="Arial" w:hAnsi="Arial" w:cs="Arial"/>
          <w:sz w:val="20"/>
          <w:szCs w:val="20"/>
        </w:rPr>
        <w:t>. Ak dôjde k vylúčeniu tohto uchádzača, vyhodnotí sa následne splnenie podmienok účasti a požiadaviek na predmet zákazky u ďalšieho uchádzača v poradí tak, aby uchádzač umiestnený na prvom mieste v novo zostavenom poradí spĺňal podmienky účasti a požiadavky na predmet zákazky. Uvedené pravidlá nevylučujú, aby verejný obstarávateľ vyhodnotil splnenie požiadaviek na predmet zákazky a splnenie podmienok účasti v prípade všetkých uchádzačov, ktorí predložili ponuku.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numPr>
          <w:ilvl w:val="0"/>
          <w:numId w:val="1"/>
        </w:numPr>
        <w:ind w:left="720" w:hanging="265"/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Georgia" w:eastAsia="Georgia" w:hAnsi="Georgia" w:cs="Georgia"/>
          <w:b/>
          <w:bCs/>
          <w:sz w:val="18"/>
          <w:szCs w:val="18"/>
        </w:rPr>
        <w:t xml:space="preserve">Podmienky účasti vo verejnom obstarávaní: </w:t>
      </w:r>
    </w:p>
    <w:p w:rsidR="00A77B3E">
      <w:pPr>
        <w:numPr>
          <w:ilvl w:val="1"/>
          <w:numId w:val="1"/>
        </w:numPr>
        <w:ind w:left="1440" w:hanging="265"/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 xml:space="preserve">Uchádzač musí spĺňať podmienku účasti týkajúcu sa osobného postavenia podľa § 32 ods. 1 písm. e) zákona – musí byť oprávnený dodávať tovar, ktorý zodpovedajú predmetu zákazky. Uchádzač nemusí predkladať v ponuke doklad o oprávnení dodávať tovar, ktorý zodpovedá predmetu zákazky v súlade s prvou vetou, túto skutočnosť si overí verejný obstarávateľ sám v príslušnom registri, v ktorom je uchádzač zapísaný. </w:t>
      </w:r>
    </w:p>
    <w:p w:rsidR="00A77B3E">
      <w:pPr>
        <w:numPr>
          <w:ilvl w:val="1"/>
          <w:numId w:val="1"/>
        </w:numPr>
        <w:ind w:left="1440" w:hanging="265"/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 xml:space="preserve">Uchádzač nesmie byť vedený v registri osôb so zákazom účasti vo verejnom obstarávaní, ktorý vedie Úrad pre verejné obstarávanie podľa § 183 zákona, túto skutočnosť si overí verejný obstarávateľ sám na webovej stránke Úradu pre verejné obstarávanie. V prípade, že uchádzač je vedený v tomto registri ku dňu predkladania ponúk, nebude jeho ponuka hodnotená. </w:t>
      </w:r>
    </w:p>
    <w:p w:rsidR="00A77B3E">
      <w:pPr>
        <w:numPr>
          <w:ilvl w:val="1"/>
          <w:numId w:val="1"/>
        </w:numPr>
        <w:ind w:left="1440" w:hanging="265"/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U uchádzača nesmú existovať dôvody na vylúčenie podľa § 40 ods. 6 písm. f) zákona (konflikt záujmov) - o tejto skutočnosti uchádzač predloží v ponuke čestné vyhlásenie podpísané osobou oprávnenou konať v mene uchádzača. Formulár čestného vyhlásenia tvorí prílohu č. 4 tejto výzvy.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10)      Ďalšie informácie verejného obstarávateľa: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 xml:space="preserve">Verejný obstarávateľ si vyhradzuje právo zrušiť verejné obstarávanie v súlade s §57 zákona o verejnom obstarávaní.  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sz w:val="20"/>
          <w:szCs w:val="20"/>
        </w:rPr>
        <w:t>Prílohy: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Príloha č. 1: Technická špecifikácia predmetu zákazky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Príloha č. 2: Návrh rámcovej dohody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Príloha č. 3: Vyhlásenie o neexistencii konfliktu záujmov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Zapísal/a: Ing. Kristína Hodošiová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súhlasím - nesúhlasím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                                                                                                                         JUDr. Marian Korytiak, PhD.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                                                                                                                                    riaditeľ FN Nitra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Calibri" w:eastAsia="Calibri" w:hAnsi="Calibri" w:cs="Calibri"/>
          <w:sz w:val="22"/>
        </w:rPr>
        <w:t>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                                                               </w:t>
      </w:r>
      <w:r>
        <w:rPr>
          <w:rStyle w:val="DefaultParagraphFont"/>
          <w:rFonts w:ascii="Calibri" w:eastAsia="Calibri" w:hAnsi="Calibri" w:cs="Calibri"/>
          <w:b/>
          <w:bCs/>
          <w:sz w:val="22"/>
        </w:rPr>
        <w:t> </w:t>
      </w:r>
      <w:r>
        <w:rPr>
          <w:rStyle w:val="DefaultParagraphFont"/>
          <w:rFonts w:ascii="Calibri" w:eastAsia="Calibri" w:hAnsi="Calibri" w:cs="Calibri"/>
          <w:b/>
          <w:bCs/>
          <w:sz w:val="22"/>
        </w:rPr>
        <w:t xml:space="preserve"> </w:t>
      </w:r>
      <w:r>
        <w:rPr>
          <w:rStyle w:val="DefaultParagraphFont"/>
          <w:rFonts w:ascii="Calibri" w:eastAsia="Calibri" w:hAnsi="Calibri" w:cs="Calibri"/>
          <w:b/>
          <w:bCs/>
          <w:sz w:val="22"/>
        </w:rPr>
        <w:t> </w:t>
      </w:r>
      <w:r>
        <w:rPr>
          <w:rStyle w:val="DefaultParagraphFont"/>
          <w:rFonts w:ascii="Calibri" w:eastAsia="Calibri" w:hAnsi="Calibri" w:cs="Calibri"/>
          <w:b/>
          <w:bCs/>
          <w:sz w:val="22"/>
        </w:rPr>
        <w:t xml:space="preserve"> </w:t>
      </w:r>
      <w:r>
        <w:rPr>
          <w:rStyle w:val="DefaultParagraphFont"/>
          <w:rFonts w:ascii="Calibri" w:eastAsia="Calibri" w:hAnsi="Calibri" w:cs="Calibri"/>
          <w:b/>
          <w:bCs/>
          <w:sz w:val="22"/>
        </w:rPr>
        <w:t>  </w:t>
      </w:r>
    </w:p>
    <w:p w:rsidR="00A77B3E">
      <w:pPr>
        <w:jc w:val="both"/>
        <w:rPr>
          <w:rStyle w:val="DefaultParagraphFont"/>
          <w:rFonts w:ascii="Calibri" w:eastAsia="Calibri" w:hAnsi="Calibri" w:cs="Calibri"/>
          <w:sz w:val="22"/>
          <w:szCs w:val="22"/>
        </w:rPr>
      </w:pPr>
      <w:r>
        <w:rPr>
          <w:rStyle w:val="DefaultParagraphFont"/>
          <w:rFonts w:ascii="Arial" w:eastAsia="Arial" w:hAnsi="Arial" w:cs="Arial"/>
          <w:sz w:val="20"/>
          <w:szCs w:val="20"/>
        </w:rPr>
        <w:t>                            </w:t>
      </w:r>
    </w:p>
    <w:p w:rsidR="00A77B3E">
      <w:pPr>
        <w:rPr>
          <w:rFonts w:ascii="Calibri" w:eastAsia="Calibri" w:hAnsi="Calibri" w:cs="Calibri"/>
          <w:sz w:val="22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</w:font>
  <w:font w:name="Calibri">
    <w:panose1 w:val="020F0502020204030204"/>
    <w:charset w:val="EE"/>
    <w:family w:val="swiss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iberation Sans">
    <w:altName w:val="Arial"/>
    <w:panose1 w:val="00000000000000000000"/>
    <w:charset w:val="EE"/>
    <w:family w:val="roman"/>
    <w:pitch w:val="variable"/>
  </w:font>
  <w:font w:name="Calibri Light">
    <w:panose1 w:val="020F0302020204030204"/>
    <w:charset w:val="00"/>
    <w:family w:val="swiss"/>
    <w:pitch w:val="variable"/>
  </w:font>
  <w:font w:name="MS Mincho">
    <w:panose1 w:val="02020603050405020304"/>
    <w:charset w:val="00"/>
    <w:family w:val="roman"/>
    <w:pitch w:val="variable"/>
  </w:font>
  <w:font w:name="Times New Roman CE">
    <w:charset w:val="EE"/>
    <w:family w:val="roman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Cambria Math CE">
    <w:charset w:val="EE"/>
    <w:family w:val="roman"/>
    <w:pitch w:val="variable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Calibri CE">
    <w:charset w:val="EE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  <w:font w:name="Calibri Light CE">
    <w:charset w:val="EE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Microsoft YaHei">
    <w:charset w:val="EE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Normal10"/>
      <w:spacing w:after="0" w:line="240" w:lineRule="auto"/>
      <w:jc w:val="left"/>
      <w:rPr>
        <w:rStyle w:val="DefaultParagraphFont"/>
        <w:rFonts w:hAnsi="Liberation Serif" w:cs="Liberation Serif"/>
        <w:b/>
        <w:sz w:val="20"/>
        <w:szCs w:val="24"/>
        <w:rtl w:val="0"/>
      </w:rPr>
    </w:pPr>
    <w:r>
      <w:rPr>
        <w:rFonts w:hAnsi="Liberation Serif" w:cs="Liberation Serif"/>
        <w:b/>
        <w:sz w:val="20"/>
        <w:szCs w:val="24"/>
      </w:rPr>
      <w:pict>
        <v:line id="1" o:spid="_x0000_i2051" alt="1" style="mso-position-horizontal-relative:char" from="0.55pt,6.55pt" to="445.55pt,6.55pt" o:allowincell="f" strokecolor="#747070">
          <v:fill o:detectmouseclick="t"/>
          <v:stroke joinstyle="miter" color2="#8b8f8f"/>
          <v:shadow obscured="t"/>
        </v:line>
      </w:pict>
    </w:r>
  </w:p>
  <w:p>
    <w:pPr>
      <w:pStyle w:val="Normal10"/>
      <w:spacing w:after="0" w:line="240" w:lineRule="auto"/>
      <w:jc w:val="left"/>
      <w:rPr>
        <w:rStyle w:val="DefaultParagraphFont"/>
        <w:rFonts w:hAnsi="Liberation Serif" w:cs="Liberation Serif"/>
        <w:szCs w:val="24"/>
      </w:rPr>
    </w:pPr>
    <w:r>
      <w:rPr>
        <w:rStyle w:val="DefaultParagraphFont"/>
        <w:rFonts w:hAnsi="Liberation Serif" w:cs="Liberation Serif"/>
        <w:szCs w:val="24"/>
      </w:rPr>
      <w:fldChar w:fldCharType="begin"/>
    </w:r>
    <w:r>
      <w:rPr>
        <w:rStyle w:val="DefaultParagraphFont"/>
        <w:rFonts w:hAnsi="Liberation Serif" w:cs="Liberation Serif"/>
        <w:szCs w:val="24"/>
      </w:rPr>
      <w:instrText xml:space="preserve">HYPERLINK "TEL:037/6545" </w:instrText>
    </w:r>
    <w:r>
      <w:rPr>
        <w:rStyle w:val="DefaultParagraphFont"/>
        <w:rFonts w:hAnsi="Liberation Serif" w:cs="Liberation Serif"/>
        <w:szCs w:val="24"/>
      </w:rPr>
      <w:fldChar w:fldCharType="separate"/>
    </w:r>
    <w:r>
      <w:rPr>
        <w:rStyle w:val="DefaultParagraphFont"/>
        <w:rFonts w:hAnsi="Liberation Serif" w:cs="Liberation Serif"/>
        <w:b/>
        <w:color w:val="000080"/>
        <w:sz w:val="20"/>
        <w:szCs w:val="24"/>
        <w:u w:val="single" w:color="auto"/>
        <w:rtl w:val="0"/>
      </w:rPr>
      <w:t xml:space="preserve">TEL: </w:t>
    </w:r>
    <w:r>
      <w:rPr>
        <w:rStyle w:val="DefaultParagraphFont"/>
        <w:rFonts w:hAnsi="Liberation Serif" w:cs="Liberation Serif"/>
        <w:color w:val="000080"/>
        <w:sz w:val="20"/>
        <w:szCs w:val="24"/>
        <w:u w:val="single" w:color="auto"/>
        <w:rtl w:val="0"/>
      </w:rPr>
      <w:t>037/6545</w:t>
    </w:r>
    <w:r>
      <w:rPr>
        <w:rStyle w:val="DefaultParagraphFont"/>
        <w:rFonts w:hAnsi="Liberation Serif" w:cs="Liberation Serif"/>
        <w:szCs w:val="24"/>
      </w:rPr>
      <w:fldChar w:fldCharType="end"/>
    </w:r>
    <w:r>
      <w:rPr>
        <w:rStyle w:val="DefaultParagraphFont"/>
        <w:rFonts w:hAnsi="Liberation Serif" w:cs="Liberation Serif"/>
        <w:sz w:val="20"/>
        <w:szCs w:val="24"/>
        <w:rtl w:val="0"/>
      </w:rPr>
      <w:t xml:space="preserve"> 111 </w:t>
    </w:r>
  </w:p>
  <w:p>
    <w:pPr>
      <w:pStyle w:val="Normal10"/>
      <w:spacing w:after="0" w:line="240" w:lineRule="auto"/>
      <w:jc w:val="left"/>
      <w:rPr>
        <w:rStyle w:val="DefaultParagraphFont"/>
        <w:rFonts w:hAnsi="Liberation Serif" w:cs="Liberation Serif"/>
        <w:szCs w:val="24"/>
      </w:rPr>
    </w:pPr>
    <w:r>
      <w:rPr>
        <w:rStyle w:val="DefaultParagraphFont"/>
        <w:rFonts w:hAnsi="Liberation Serif" w:cs="Liberation Serif"/>
        <w:b/>
        <w:sz w:val="20"/>
        <w:szCs w:val="24"/>
        <w:rtl w:val="0"/>
      </w:rPr>
      <w:t>IČO:</w:t>
    </w:r>
    <w:r>
      <w:rPr>
        <w:rStyle w:val="DefaultParagraphFont"/>
        <w:rFonts w:hAnsi="Liberation Serif" w:cs="Liberation Serif"/>
        <w:sz w:val="20"/>
        <w:szCs w:val="24"/>
        <w:rtl w:val="0"/>
      </w:rPr>
      <w:t xml:space="preserve"> 17336007</w:t>
      <w:tab/>
      <w:tab/>
      <w:tab/>
    </w:r>
    <w:r>
      <w:rPr>
        <w:rStyle w:val="DefaultParagraphFont"/>
        <w:rFonts w:hAnsi="Liberation Serif" w:cs="Liberation Serif"/>
        <w:b/>
        <w:sz w:val="20"/>
        <w:szCs w:val="24"/>
        <w:rtl w:val="0"/>
      </w:rPr>
      <w:t xml:space="preserve">DIČ: </w:t>
    </w:r>
    <w:r>
      <w:rPr>
        <w:rStyle w:val="DefaultParagraphFont"/>
        <w:rFonts w:hAnsi="Liberation Serif" w:cs="Liberation Serif"/>
        <w:sz w:val="20"/>
        <w:szCs w:val="24"/>
        <w:rtl w:val="0"/>
      </w:rPr>
      <w:t>2021205197</w:t>
      <w:tab/>
      <w:tab/>
      <w:tab/>
    </w:r>
    <w:r>
      <w:rPr>
        <w:rStyle w:val="DefaultParagraphFont"/>
        <w:rFonts w:hAnsi="Liberation Serif" w:cs="Liberation Serif"/>
        <w:b/>
        <w:sz w:val="20"/>
        <w:szCs w:val="24"/>
        <w:rtl w:val="0"/>
      </w:rPr>
      <w:t>IČ DPH:</w:t>
    </w:r>
    <w:r>
      <w:rPr>
        <w:rStyle w:val="DefaultParagraphFont"/>
        <w:rFonts w:hAnsi="Liberation Serif" w:cs="Liberation Serif"/>
        <w:sz w:val="20"/>
        <w:szCs w:val="24"/>
        <w:rtl w:val="0"/>
      </w:rPr>
      <w:t xml:space="preserve"> SK 2021205197</w:t>
    </w:r>
  </w:p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AA">
    <w:pPr>
      <w:pStyle w:val="Normal1"/>
      <w:bidi w:val="0"/>
      <w:jc w:val="left"/>
      <w:rPr>
        <w:rFonts w:cs="Times New Roman" w:hint="cs"/>
      </w:rPr>
    </w:pPr>
    <w:r>
      <w:rPr>
        <w:rFonts w:hint="cs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82.3pt;height:56.75pt;margin-top:2.4pt;margin-left:94.2pt;mso-wrap-distance-bottom:5.7pt;mso-wrap-distance-left:5.7pt;mso-wrap-distance-right:5.7pt;mso-wrap-distance-top:5.7pt;position:absolute;z-index:251658240" o:allowincell="f" stroked="f">
          <v:textbox inset="0,0,0,0">
            <w:txbxContent>
              <w:p w:rsidR="00BD24AA">
                <w:pPr>
                  <w:pStyle w:val="Normal0"/>
                  <w:bidi w:val="0"/>
                  <w:spacing w:after="0" w:line="240" w:lineRule="auto"/>
                  <w:jc w:val="left"/>
                  <w:rPr>
                    <w:rFonts w:hint="cs"/>
                  </w:rPr>
                </w:pPr>
                <w:r>
                  <w:rPr>
                    <w:b/>
                    <w:bCs/>
                    <w:sz w:val="18"/>
                    <w:lang w:val="pl-PL"/>
                  </w:rPr>
                  <w:t>Fakultn</w:t>
                </w:r>
                <w:r>
                  <w:rPr>
                    <w:rFonts w:hint="default"/>
                    <w:b/>
                    <w:bCs/>
                    <w:sz w:val="18"/>
                    <w:lang w:val="pl-PL"/>
                  </w:rPr>
                  <w:t>á</w:t>
                </w:r>
                <w:r>
                  <w:rPr>
                    <w:b/>
                    <w:bCs/>
                    <w:sz w:val="18"/>
                    <w:lang w:val="pl-PL"/>
                  </w:rPr>
                  <w:t xml:space="preserve"> nemocnica Nitra, </w:t>
                </w:r>
                <w:r>
                  <w:rPr>
                    <w:rFonts w:hint="default"/>
                    <w:b/>
                    <w:bCs/>
                    <w:sz w:val="18"/>
                    <w:lang w:val="pl-PL"/>
                  </w:rPr>
                  <w:t>Š</w:t>
                </w:r>
                <w:r>
                  <w:rPr>
                    <w:b/>
                    <w:bCs/>
                    <w:sz w:val="18"/>
                    <w:lang w:val="pl-PL"/>
                  </w:rPr>
                  <w:t>pit</w:t>
                </w:r>
                <w:r>
                  <w:rPr>
                    <w:rFonts w:hint="default"/>
                    <w:b/>
                    <w:bCs/>
                    <w:sz w:val="18"/>
                    <w:lang w:val="pl-PL"/>
                  </w:rPr>
                  <w:t>á</w:t>
                </w:r>
                <w:r>
                  <w:rPr>
                    <w:b/>
                    <w:bCs/>
                    <w:sz w:val="18"/>
                    <w:lang w:val="pl-PL"/>
                  </w:rPr>
                  <w:t xml:space="preserve">lska  </w:t>
                </w:r>
                <w:r>
                  <w:rPr>
                    <w:rFonts w:hint="default"/>
                    <w:b/>
                    <w:bCs/>
                    <w:sz w:val="18"/>
                    <w:lang w:val="pl-PL"/>
                  </w:rPr>
                  <w:t>č</w:t>
                </w:r>
                <w:r>
                  <w:rPr>
                    <w:b/>
                    <w:bCs/>
                    <w:sz w:val="18"/>
                    <w:lang w:val="pl-PL"/>
                  </w:rPr>
                  <w:t>. 6, 950 01 Nitra</w:t>
                </w:r>
              </w:p>
              <w:p w:rsidR="00BD24AA">
                <w:pPr>
                  <w:pStyle w:val="Normal0"/>
                  <w:bidi w:val="0"/>
                  <w:spacing w:after="0" w:line="240" w:lineRule="auto"/>
                  <w:jc w:val="left"/>
                  <w:rPr>
                    <w:rFonts w:hint="cs"/>
                  </w:rPr>
                </w:pPr>
              </w:p>
            </w:txbxContent>
          </v:textbox>
        </v:shape>
      </w:pict>
    </w:r>
    <w:r>
      <w:rPr>
        <w:rFonts w:cs="Times New Roman"/>
        <w:color w:val="auto"/>
        <w:kern w:val="0"/>
        <w:lang w:bidi="ar-SA"/>
      </w:rPr>
      <w:fldChar w:fldCharType="begin"/>
    </w:r>
    <w:r>
      <w:rPr>
        <w:rFonts w:cs="Times New Roman"/>
        <w:color w:val="auto"/>
        <w:kern w:val="0"/>
        <w:lang w:bidi="ar-SA"/>
      </w:rPr>
      <w:instrText xml:space="preserve">SHAPE </w:instrText>
    </w:r>
    <w:r>
      <w:rPr>
        <w:rFonts w:cs="Times New Roman"/>
        <w:color w:val="auto"/>
        <w:kern w:val="0"/>
        <w:lang w:bidi="ar-SA"/>
      </w:rPr>
      <w:fldChar w:fldCharType="separate"/>
    </w:r>
    <w:r>
      <w:rPr>
        <w:rFonts w:cs="Times New Roman"/>
        <w:color w:val="auto"/>
        <w:kern w:val="0"/>
        <w:lang w:bidi="ar-SA"/>
      </w:rPr>
      <w:fldChar w:fldCharType="end"/>
    </w:r>
    <w:r>
      <w:rPr>
        <w:rFonts w:cs="Times New Roman" w:hint="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0" type="#_x0000_t75" style="width:52.44pt;height:58.12pt" stroked="f">
          <v:imagedata r:id="rId1" o:title=""/>
        </v:shape>
      </w:pic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Table">
    <w:name w:val="Table"/>
    <w:basedOn w:val="TableNormal"/>
    <w:tblPr/>
  </w:style>
  <w:style w:type="paragraph" w:customStyle="1" w:styleId="Normal0">
    <w:name w:val="Normal_0"/>
    <w:uiPriority w:val="99"/>
    <w:pPr>
      <w:framePr w:wrap="auto"/>
      <w:widowControl/>
      <w:suppressAutoHyphens/>
      <w:autoSpaceDE w:val="0"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eastAsia="Times New Roman" w:hAnsi="Liberation Serif" w:cs="Calibri" w:hint="eastAsia"/>
      <w:color w:val="000000"/>
      <w:kern w:val="1"/>
      <w:sz w:val="22"/>
      <w:szCs w:val="22"/>
      <w:rtl w:val="0"/>
      <w:cs w:val="0"/>
      <w:lang w:val="sk-SK" w:eastAsia="sk-SK" w:bidi="hi-IN"/>
    </w:rPr>
  </w:style>
  <w:style w:type="paragraph" w:customStyle="1" w:styleId="Normal1">
    <w:name w:val="Normal_1"/>
    <w:qFormat/>
    <w:pPr>
      <w:framePr w:wrap="auto"/>
      <w:widowControl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Liberation Serif" w:eastAsia="MS Mincho" w:hAnsi="Liberation Serif" w:cs="Liberation Serif" w:hint="eastAsia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customStyle="1" w:styleId="Normal10">
    <w:name w:val="Normal_1_0"/>
    <w:uiPriority w:val="99"/>
    <w:pPr>
      <w:widowControl/>
      <w:suppressAutoHyphens/>
      <w:autoSpaceDE w:val="0"/>
      <w:autoSpaceDN w:val="0"/>
      <w:bidi w:val="0"/>
      <w:adjustRightInd w:val="0"/>
      <w:spacing w:before="0" w:after="200" w:line="276" w:lineRule="auto"/>
      <w:jc w:val="left"/>
    </w:pPr>
    <w:rPr>
      <w:rFonts w:ascii="Calibri" w:eastAsia="Arial" w:hAnsi="Liberation Serif" w:cs="Liberation Serif" w:hint="default"/>
      <w:color w:val="auto"/>
      <w:kern w:val="1"/>
      <w:sz w:val="22"/>
      <w:lang w:val="sk-SK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